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8E4" w:rsidRDefault="00116A85">
      <w:pPr>
        <w:pStyle w:val="30"/>
        <w:shd w:val="clear" w:color="auto" w:fill="auto"/>
        <w:spacing w:after="188"/>
        <w:ind w:right="820"/>
      </w:pPr>
      <w:bookmarkStart w:id="0" w:name="_GoBack"/>
      <w:bookmarkEnd w:id="0"/>
      <w:r>
        <w:rPr>
          <w:rStyle w:val="31"/>
          <w:b/>
          <w:bCs/>
        </w:rPr>
        <w:t>Законом № 365-З предусмотрены отдельные положения по вопросам: связанным с оборотов товаров, подлежащих прослеживаемости и маркировке; использованием бланков документов с определенной степенью защиты</w:t>
      </w:r>
    </w:p>
    <w:p w:rsidR="005E18E4" w:rsidRDefault="00116A85">
      <w:pPr>
        <w:pStyle w:val="20"/>
        <w:shd w:val="clear" w:color="auto" w:fill="auto"/>
        <w:spacing w:before="0" w:after="64"/>
        <w:ind w:firstLine="780"/>
      </w:pPr>
      <w:r>
        <w:t xml:space="preserve">Положением о создании индивидуальным предпринимателем (далее - ИП) коммерческой организации, учреждаемой одним лицом, согласно приложению к Закону Республики Беларусь от 22 апреля 2024 г. № 365-З «Об изменении законов по вопросам предпринимательской деятельности» (далее - Положение) </w:t>
      </w:r>
      <w:r>
        <w:rPr>
          <w:rStyle w:val="21"/>
        </w:rPr>
        <w:t>предусмотрено следующее:</w:t>
      </w:r>
    </w:p>
    <w:p w:rsidR="005E18E4" w:rsidRDefault="00116A85">
      <w:pPr>
        <w:pStyle w:val="20"/>
        <w:shd w:val="clear" w:color="auto" w:fill="auto"/>
        <w:spacing w:before="0" w:after="180" w:line="264" w:lineRule="exact"/>
        <w:ind w:firstLine="780"/>
      </w:pPr>
      <w:r>
        <w:rPr>
          <w:rStyle w:val="21"/>
        </w:rPr>
        <w:t xml:space="preserve">- коммерческая организация передает в налоговый орган по месту постановки на учет для включения в программный комплекс «Система прослеживаемости товаров» государственной информационной системы «Программно-технический комплекс по автоматизации процесса расчета подлежащих уплате в бюджет налогов, сборов (пошлин) и представлению в налоговые органы налоговых деклараций (расчетов) в электронном виде» (далее - ПК СПТ) в виде электронного документа </w:t>
      </w:r>
      <w:r>
        <w:rPr>
          <w:rStyle w:val="22"/>
        </w:rPr>
        <w:t>сведения об остатках товаров, включенных в перечень товаров, сведения об обороте которых</w:t>
      </w:r>
    </w:p>
    <w:p w:rsidR="005E18E4" w:rsidRDefault="00116A85">
      <w:pPr>
        <w:pStyle w:val="20"/>
        <w:shd w:val="clear" w:color="auto" w:fill="auto"/>
        <w:spacing w:before="0" w:after="0" w:line="264" w:lineRule="exact"/>
      </w:pPr>
      <w:r>
        <w:rPr>
          <w:noProof/>
          <w:lang w:bidi="ar-SA"/>
        </w:rPr>
        <mc:AlternateContent>
          <mc:Choice Requires="wps">
            <w:drawing>
              <wp:anchor distT="0" distB="147955" distL="63500" distR="63500" simplePos="0" relativeHeight="251657728" behindDoc="1" locked="0" layoutInCell="1" allowOverlap="1">
                <wp:simplePos x="0" y="0"/>
                <wp:positionH relativeFrom="margin">
                  <wp:posOffset>36830</wp:posOffset>
                </wp:positionH>
                <wp:positionV relativeFrom="paragraph">
                  <wp:posOffset>-187960</wp:posOffset>
                </wp:positionV>
                <wp:extent cx="6900545" cy="177800"/>
                <wp:effectExtent l="0" t="635" r="0" b="25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054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8E4" w:rsidRDefault="00116A85">
                            <w:pPr>
                              <w:pStyle w:val="20"/>
                              <w:shd w:val="clear" w:color="auto" w:fill="auto"/>
                              <w:spacing w:before="0" w:after="0" w:line="280" w:lineRule="exact"/>
                              <w:jc w:val="left"/>
                            </w:pPr>
                            <w:r>
                              <w:rPr>
                                <w:rStyle w:val="2Exact0"/>
                              </w:rPr>
                              <w:t>являются предметом информационного взаимодействия с государствами - членами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-14.8pt;width:543.35pt;height:14pt;z-index:-251658752;visibility:visible;mso-wrap-style:square;mso-width-percent:0;mso-height-percent:0;mso-wrap-distance-left:5pt;mso-wrap-distance-top:0;mso-wrap-distance-right:5pt;mso-wrap-distance-bottom:11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" filled="f" stroked="f">
                <v:textbox style="mso-fit-shape-to-text:t" inset="0,0,0,0">
                  <w:txbxContent>
                    <w:p w:rsidR="005E18E4" w:rsidRDefault="00116A85">
                      <w:pPr>
                        <w:pStyle w:val="20"/>
                        <w:shd w:val="clear" w:color="auto" w:fill="auto"/>
                        <w:spacing w:before="0" w:after="0" w:line="280" w:lineRule="exact"/>
                        <w:jc w:val="left"/>
                      </w:pPr>
                      <w:r>
                        <w:rPr>
                          <w:rStyle w:val="2Exact0"/>
                        </w:rPr>
                        <w:t>являются предметом информационного взаимодействия с государствами - членами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22"/>
        </w:rPr>
        <w:t>Евразийского экономического союза, и (или) перечень товаров, сведения об обороте которых являются предметом прослеживаемости,</w:t>
      </w:r>
      <w:r>
        <w:rPr>
          <w:rStyle w:val="21"/>
        </w:rPr>
        <w:t xml:space="preserve"> имевшихся на дату прекращения деятельности ИП, создавшего такую коммерческую организацию (далее - остатки товаров).</w:t>
      </w:r>
    </w:p>
    <w:p w:rsidR="005E18E4" w:rsidRDefault="00116A85">
      <w:pPr>
        <w:pStyle w:val="20"/>
        <w:shd w:val="clear" w:color="auto" w:fill="auto"/>
        <w:spacing w:before="0" w:after="0" w:line="264" w:lineRule="exact"/>
        <w:ind w:firstLine="780"/>
      </w:pPr>
      <w:r>
        <w:rPr>
          <w:rStyle w:val="21"/>
        </w:rPr>
        <w:t>Указанные сведения передаются до осуществления операций, связанных с оборотом остатков товаров, но не позднее одного месяца с даты государственной регистрации коммерческой организации.</w:t>
      </w:r>
    </w:p>
    <w:p w:rsidR="005E18E4" w:rsidRDefault="00116A85">
      <w:pPr>
        <w:pStyle w:val="20"/>
        <w:shd w:val="clear" w:color="auto" w:fill="auto"/>
        <w:spacing w:before="0" w:line="264" w:lineRule="exact"/>
        <w:ind w:firstLine="780"/>
      </w:pPr>
      <w:r>
        <w:rPr>
          <w:rStyle w:val="21"/>
        </w:rPr>
        <w:t xml:space="preserve">При этом количество товаров, указанных в передаваемых сведениях, не может быть больше количества таких товаров, имевшихся у ИП, создавшего эту коммерческую организацию, по данным ПК СПТ на дату исключения ИП из Единого государственного регистра юридических лиц и ИП </w:t>
      </w:r>
      <w:r>
        <w:rPr>
          <w:rStyle w:val="23"/>
        </w:rPr>
        <w:t>(пункт 11 Положения);</w:t>
      </w:r>
    </w:p>
    <w:p w:rsidR="005E18E4" w:rsidRDefault="00116A85">
      <w:pPr>
        <w:pStyle w:val="20"/>
        <w:shd w:val="clear" w:color="auto" w:fill="auto"/>
        <w:spacing w:before="0" w:after="0" w:line="264" w:lineRule="exact"/>
        <w:ind w:firstLine="780"/>
      </w:pPr>
      <w:r>
        <w:rPr>
          <w:rStyle w:val="23"/>
        </w:rPr>
        <w:t>-</w:t>
      </w:r>
      <w:r>
        <w:rPr>
          <w:rStyle w:val="21"/>
        </w:rPr>
        <w:t xml:space="preserve"> </w:t>
      </w:r>
      <w:r>
        <w:rPr>
          <w:rStyle w:val="22"/>
        </w:rPr>
        <w:t>неиспользованные ИП унифицированные контрольные знаки, сгенерированные коды маркировки, защищенные материальные носители, защищенные материальные носители с нанесенными средствами идентификации, знаки защиты</w:t>
      </w:r>
      <w:r>
        <w:rPr>
          <w:rStyle w:val="21"/>
        </w:rPr>
        <w:t xml:space="preserve"> могут быть переданы созданной им коммерческой организации.</w:t>
      </w:r>
    </w:p>
    <w:p w:rsidR="005E18E4" w:rsidRDefault="00116A85">
      <w:pPr>
        <w:pStyle w:val="20"/>
        <w:shd w:val="clear" w:color="auto" w:fill="auto"/>
        <w:spacing w:before="0" w:line="264" w:lineRule="exact"/>
        <w:ind w:firstLine="780"/>
      </w:pPr>
      <w:r>
        <w:rPr>
          <w:rStyle w:val="21"/>
        </w:rPr>
        <w:t xml:space="preserve">Такая передача осуществляется на основании передаточного акта, информация о котором с указанием общего количества, серий, номеров неиспользованных унифицированных контрольных знаков, защищенных материальных носителей, защищенных материальных носителей с нанесенными средствами идентификации, знаков защиты и (или) общего количества сгенерированных кодов маркировки должна быть передана коммерческой организацией в государственную информационную систему маркировки товаров унифицированными контрольными знаками или средствами идентификации до начала их оборота, но не позднее одного месяца с даты государственной регистрации этой коммерческой организации </w:t>
      </w:r>
      <w:r>
        <w:rPr>
          <w:rStyle w:val="23"/>
        </w:rPr>
        <w:t>(пункт 12 Положения);</w:t>
      </w:r>
    </w:p>
    <w:p w:rsidR="005E18E4" w:rsidRDefault="00116A85">
      <w:pPr>
        <w:pStyle w:val="20"/>
        <w:shd w:val="clear" w:color="auto" w:fill="auto"/>
        <w:spacing w:before="0" w:after="0" w:line="264" w:lineRule="exact"/>
        <w:ind w:firstLine="780"/>
      </w:pPr>
      <w:r>
        <w:rPr>
          <w:rStyle w:val="23"/>
        </w:rPr>
        <w:t>-</w:t>
      </w:r>
      <w:r>
        <w:rPr>
          <w:rStyle w:val="21"/>
        </w:rPr>
        <w:t xml:space="preserve"> </w:t>
      </w:r>
      <w:r>
        <w:rPr>
          <w:rStyle w:val="22"/>
        </w:rPr>
        <w:t>остатки неиспользованных ИП бланков документов с определенной степенью защиты</w:t>
      </w:r>
      <w:r>
        <w:rPr>
          <w:rStyle w:val="21"/>
        </w:rPr>
        <w:t xml:space="preserve"> (далее - бланки) могут быть переданы созданной им коммерческой организации на основании передаточного акта.</w:t>
      </w:r>
    </w:p>
    <w:p w:rsidR="005E18E4" w:rsidRDefault="00116A85">
      <w:pPr>
        <w:pStyle w:val="20"/>
        <w:shd w:val="clear" w:color="auto" w:fill="auto"/>
        <w:spacing w:before="0" w:after="0" w:line="264" w:lineRule="exact"/>
        <w:ind w:firstLine="780"/>
      </w:pPr>
      <w:r>
        <w:rPr>
          <w:rStyle w:val="21"/>
        </w:rPr>
        <w:t>Информация об остатках неиспользованных ИП бланков должна быть передана коммерческой организацией в налоговый орган не позднее одного месяца с даты государственной регистрации этой организации посредством направления уведомления в произвольной форме с указанием типов, кодов, серий, номеров таких бланков и их количества.</w:t>
      </w:r>
    </w:p>
    <w:p w:rsidR="005E18E4" w:rsidRDefault="00116A85">
      <w:pPr>
        <w:pStyle w:val="20"/>
        <w:shd w:val="clear" w:color="auto" w:fill="auto"/>
        <w:spacing w:before="0" w:after="0" w:line="264" w:lineRule="exact"/>
        <w:ind w:firstLine="780"/>
      </w:pPr>
      <w:r>
        <w:rPr>
          <w:rStyle w:val="21"/>
        </w:rPr>
        <w:t>Внесение соответствующих изменений в электронный банк данных бланков документов и документов с определенной степенью защиты и печатной продукции осуществляется налоговым органом в течение 3-х рабочих дней со дня получения указанного уведомления.</w:t>
      </w:r>
    </w:p>
    <w:p w:rsidR="005E18E4" w:rsidRDefault="00116A85">
      <w:pPr>
        <w:pStyle w:val="20"/>
        <w:shd w:val="clear" w:color="auto" w:fill="auto"/>
        <w:spacing w:before="0" w:after="0" w:line="264" w:lineRule="exact"/>
        <w:ind w:firstLine="780"/>
      </w:pPr>
      <w:r>
        <w:rPr>
          <w:rStyle w:val="21"/>
        </w:rPr>
        <w:t xml:space="preserve">Использование указанных остатков бланков коммерческой организацией допускается после внесения соответствующих изменений в электронный банк данных бланков документов и документов с определенной степенью защиты и печатной продукции </w:t>
      </w:r>
      <w:r>
        <w:rPr>
          <w:rStyle w:val="23"/>
        </w:rPr>
        <w:t>(пункт 13 Положения).</w:t>
      </w:r>
    </w:p>
    <w:p w:rsidR="005E18E4" w:rsidRDefault="00116A85">
      <w:pPr>
        <w:pStyle w:val="40"/>
        <w:shd w:val="clear" w:color="auto" w:fill="auto"/>
        <w:ind w:left="8300"/>
      </w:pPr>
      <w:r>
        <w:t>Пресс- центр инспекции МНС по Могилевской области</w:t>
      </w:r>
    </w:p>
    <w:sectPr w:rsidR="005E18E4">
      <w:pgSz w:w="11900" w:h="16840"/>
      <w:pgMar w:top="562" w:right="344" w:bottom="236" w:left="6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A85" w:rsidRDefault="00116A85">
      <w:r>
        <w:separator/>
      </w:r>
    </w:p>
  </w:endnote>
  <w:endnote w:type="continuationSeparator" w:id="0">
    <w:p w:rsidR="00116A85" w:rsidRDefault="00116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A85" w:rsidRDefault="00116A85"/>
  </w:footnote>
  <w:footnote w:type="continuationSeparator" w:id="0">
    <w:p w:rsidR="00116A85" w:rsidRDefault="00116A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8E4"/>
    <w:rsid w:val="00116A85"/>
    <w:rsid w:val="002171EC"/>
    <w:rsid w:val="005E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56DBEF-C5A4-46BC-A83D-5D20D68C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after="60" w:line="269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80" w:line="278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1" w:lineRule="exac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Табола Елена Михайловна</dc:creator>
  <cp:keywords/>
  <cp:lastModifiedBy>Admin</cp:lastModifiedBy>
  <cp:revision>2</cp:revision>
  <dcterms:created xsi:type="dcterms:W3CDTF">2024-07-25T10:54:00Z</dcterms:created>
  <dcterms:modified xsi:type="dcterms:W3CDTF">2024-07-25T10:54:00Z</dcterms:modified>
</cp:coreProperties>
</file>