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69" w:rsidRDefault="00AF2869" w:rsidP="00AF2869">
      <w:pPr>
        <w:tabs>
          <w:tab w:val="left" w:pos="86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исчисления транспортного налога по транспортным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средствам, года выпуска которых прошло не более трех лет,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включенным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еречень транспортных средств повышенной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комфортности, </w:t>
      </w:r>
      <w:r w:rsidR="00C66840"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определяемый</w:t>
      </w: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Советом Министров Республики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Беларусь.</w:t>
      </w:r>
    </w:p>
    <w:p w:rsidR="00AF2869" w:rsidRPr="00AF2869" w:rsidRDefault="00AF2869" w:rsidP="00AF2869">
      <w:pPr>
        <w:tabs>
          <w:tab w:val="left" w:pos="86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2869" w:rsidRDefault="00AF2869" w:rsidP="00C66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proofErr w:type="gramStart"/>
      <w:r w:rsidRPr="00AF2869">
        <w:rPr>
          <w:rFonts w:ascii="Times New Roman" w:hAnsi="Times New Roman" w:cs="Times New Roman"/>
          <w:color w:val="000000"/>
          <w:sz w:val="28"/>
          <w:szCs w:val="28"/>
        </w:rPr>
        <w:t>Организациями - плательщиками транспортного налога начиная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000000"/>
          <w:sz w:val="28"/>
          <w:szCs w:val="28"/>
        </w:rPr>
        <w:t>2024 года в соотв</w:t>
      </w:r>
      <w:r w:rsidR="00C66840">
        <w:rPr>
          <w:rFonts w:ascii="Times New Roman" w:hAnsi="Times New Roman" w:cs="Times New Roman"/>
          <w:color w:val="000000"/>
          <w:sz w:val="28"/>
          <w:szCs w:val="28"/>
        </w:rPr>
        <w:t>етствии с пунктом 1 статьи 307</w:t>
      </w:r>
      <w:r w:rsidRPr="00AF2869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000000"/>
          <w:sz w:val="28"/>
          <w:szCs w:val="28"/>
        </w:rPr>
        <w:t>Республики Беларусь (далее – НК) п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о транспортным средствам, с года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выпуска которых прошло не более трех лет, включенным в перечень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транспортных средств повышенной комфортности, определяемый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Советом Министров Республики Беларусь (далее – транспортные средства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повышенной комфортности), транспортный налог, включая авансовые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платежи, исчисляется по ставкам, увеличенным в</w:t>
      </w:r>
      <w:proofErr w:type="gramEnd"/>
      <w:r w:rsidRPr="00AF2869">
        <w:rPr>
          <w:rFonts w:ascii="Times New Roman" w:hAnsi="Times New Roman" w:cs="Times New Roman"/>
          <w:color w:val="242424"/>
          <w:sz w:val="28"/>
          <w:szCs w:val="28"/>
        </w:rPr>
        <w:t xml:space="preserve"> десять раз.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</w:p>
    <w:p w:rsid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 xml:space="preserve">В 2024 году положения </w:t>
      </w:r>
      <w:r w:rsidR="00C66840">
        <w:rPr>
          <w:rFonts w:ascii="Times New Roman" w:hAnsi="Times New Roman" w:cs="Times New Roman"/>
          <w:color w:val="000000"/>
          <w:sz w:val="28"/>
          <w:szCs w:val="28"/>
        </w:rPr>
        <w:t>пункта 1 статьи 307</w:t>
      </w:r>
      <w:r w:rsidRPr="00AF2869">
        <w:rPr>
          <w:rFonts w:ascii="Times New Roman" w:hAnsi="Times New Roman" w:cs="Times New Roman"/>
          <w:color w:val="000000"/>
          <w:sz w:val="28"/>
          <w:szCs w:val="28"/>
        </w:rPr>
        <w:t xml:space="preserve"> НК распространяются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000000"/>
          <w:sz w:val="28"/>
          <w:szCs w:val="28"/>
        </w:rPr>
        <w:t>на транспортные средства с годом выпуска 2022, 2023, 2024 г.г.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Ставки транспортного налога установлены в зависимости от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разрешенной максимальной массы, числа посадочных мест или за одну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единицу транспортного средства согласно пункту 1 приложения 27 к НК.</w:t>
      </w:r>
    </w:p>
    <w:p w:rsidR="00AF2869" w:rsidRP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 xml:space="preserve">В соответствии с пунктом 8 статьи </w:t>
      </w:r>
      <w:r w:rsidR="00C66840">
        <w:rPr>
          <w:rFonts w:ascii="Times New Roman" w:hAnsi="Times New Roman" w:cs="Times New Roman"/>
          <w:color w:val="000000"/>
          <w:sz w:val="28"/>
          <w:szCs w:val="28"/>
        </w:rPr>
        <w:t>307</w:t>
      </w:r>
      <w:r w:rsidRPr="00AF2869">
        <w:rPr>
          <w:rFonts w:ascii="Times New Roman" w:hAnsi="Times New Roman" w:cs="Times New Roman"/>
          <w:color w:val="000000"/>
          <w:sz w:val="28"/>
          <w:szCs w:val="28"/>
        </w:rPr>
        <w:t xml:space="preserve"> НК п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лательщики-организации за первый - третий кварталы текущего налогового периода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уплачивают авансовые платежи в размере одной четвертой годовой ставки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транспортного налога по транспортным средствам, признаваемым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объектом налогообложения, имеющимся у организации по состоянию:</w:t>
      </w:r>
    </w:p>
    <w:p w:rsidR="00AF2869" w:rsidRP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на 1 января текущего года - за первый квартал;</w:t>
      </w:r>
    </w:p>
    <w:p w:rsidR="00AF2869" w:rsidRP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на 1 апреля текущего года - за второй квартал;</w:t>
      </w:r>
    </w:p>
    <w:p w:rsidR="00AF2869" w:rsidRP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на 1 июля текущего года - за третий квартал.</w:t>
      </w:r>
    </w:p>
    <w:p w:rsid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При исчислении и уплате авансовых платежей льготы по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транспортному налогу не применяются.</w:t>
      </w:r>
    </w:p>
    <w:p w:rsid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proofErr w:type="gramStart"/>
      <w:r w:rsidRPr="00AF2869">
        <w:rPr>
          <w:rFonts w:ascii="Times New Roman" w:hAnsi="Times New Roman" w:cs="Times New Roman"/>
          <w:color w:val="242424"/>
          <w:sz w:val="28"/>
          <w:szCs w:val="28"/>
        </w:rPr>
        <w:t>Учитывая изложенное, при наличии у организации по состоянию на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01.01.2024 транспортных средств повышенной комфортности,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признаваемых объектом налогообложения транспортным налогом, ей по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сроку не позднее 22.03.2024 необходимо исчислить и уплатить авансовый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платеж по транспортному налогу за первый квартал 2024 года в размере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одной четвертой годовой ставки транспортного налога, увеличенной в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десять раз.</w:t>
      </w:r>
      <w:proofErr w:type="gramEnd"/>
    </w:p>
    <w:p w:rsid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В аналогичном порядке производится исчисление и уплата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авансовых платежей по транспортному налогу по транспортным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средствам повышенной комфортности за второй и третий кварталы по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сроку не позднее 24.06.2024 и 23.09.2024 при условии наличия у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организации таких транспортных средств по состоянию на 1 апреля 2024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г. и 1 июля 2024 г. соответственно.</w:t>
      </w:r>
    </w:p>
    <w:p w:rsidR="00AF2869" w:rsidRPr="00AF2869" w:rsidRDefault="00AF2869" w:rsidP="00AF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В настоящее время разработанный проект постановления Совета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Министров Республики Беларусь (далее – проект постановления)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находится на согласовании у заинтересованных государственных органов.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В проекте постановления определен перечень транспортных средств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повышенной комфортности:</w:t>
      </w:r>
    </w:p>
    <w:p w:rsidR="00AF2869" w:rsidRDefault="00AF2869" w:rsidP="00AF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AF2869" w:rsidTr="00AF2869">
        <w:tc>
          <w:tcPr>
            <w:tcW w:w="2376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Марка</w:t>
            </w:r>
          </w:p>
          <w:p w:rsidR="00AF2869" w:rsidRPr="00AF2869" w:rsidRDefault="00AF2869" w:rsidP="00366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транспортного</w:t>
            </w:r>
          </w:p>
          <w:p w:rsidR="00AF2869" w:rsidRDefault="00AF2869" w:rsidP="00366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средства</w:t>
            </w:r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Модель (версия) транспортного средства, не зависимо </w:t>
            </w:r>
            <w:proofErr w:type="gram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от</w:t>
            </w:r>
            <w:proofErr w:type="gramEnd"/>
          </w:p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технических характеристик и комплектации</w:t>
            </w:r>
          </w:p>
          <w:p w:rsid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</w:p>
        </w:tc>
      </w:tr>
      <w:tr w:rsidR="00AF2869" w:rsidRPr="00C66840" w:rsidTr="00AF2869">
        <w:tc>
          <w:tcPr>
            <w:tcW w:w="2376" w:type="dxa"/>
          </w:tcPr>
          <w:p w:rsid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1. Audi</w:t>
            </w:r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A8*, Q8*, R8*, RS6*, RS7*, RSQ8*, S8*, SQ8*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2.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Aston</w:t>
            </w:r>
            <w:proofErr w:type="spellEnd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Martin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3.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Aurus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4.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Bentley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5. BMW</w:t>
            </w:r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7*, 8*, M5*, M6*, M7*, M8*, X6*, X7*, XM*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6.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Bugatti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7.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Cadillac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Escalade</w:t>
            </w:r>
            <w:proofErr w:type="spellEnd"/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8.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Ferrari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9.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Lamborghini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C66840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10. Land Rover</w:t>
            </w:r>
          </w:p>
        </w:tc>
        <w:tc>
          <w:tcPr>
            <w:tcW w:w="7195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Range Rover</w:t>
            </w:r>
          </w:p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Range Rover Sport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11.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Lexus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LC*, LS*, LX*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12.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Maserati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13.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McLaren</w:t>
            </w:r>
            <w:proofErr w:type="spellEnd"/>
          </w:p>
        </w:tc>
        <w:tc>
          <w:tcPr>
            <w:tcW w:w="7195" w:type="dxa"/>
          </w:tcPr>
          <w:p w:rsidR="00AF2869" w:rsidRPr="00AF2869" w:rsidRDefault="00AF2869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AF2869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14. Mercedes-Benz</w:t>
            </w:r>
          </w:p>
        </w:tc>
        <w:tc>
          <w:tcPr>
            <w:tcW w:w="7195" w:type="dxa"/>
          </w:tcPr>
          <w:p w:rsidR="00366F52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 xml:space="preserve">AMG </w:t>
            </w: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Е</w:t>
            </w: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*, AMG S*, AMG SL*, AMG G*, AMG GT*,</w:t>
            </w:r>
          </w:p>
          <w:p w:rsidR="00366F52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AMG GLE*, AMG GLS*, G*, GLE Coupe*, GLS*, S*,</w:t>
            </w:r>
          </w:p>
          <w:p w:rsidR="00AF2869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SL*,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Maybach</w:t>
            </w:r>
            <w:proofErr w:type="spellEnd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*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366F52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15. </w:t>
            </w: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Porsche</w:t>
            </w:r>
            <w:proofErr w:type="spellEnd"/>
          </w:p>
        </w:tc>
        <w:tc>
          <w:tcPr>
            <w:tcW w:w="7195" w:type="dxa"/>
          </w:tcPr>
          <w:p w:rsidR="00AF2869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 модельный 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366F52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16. Rolls-Royce</w:t>
            </w:r>
          </w:p>
        </w:tc>
        <w:tc>
          <w:tcPr>
            <w:tcW w:w="7195" w:type="dxa"/>
          </w:tcPr>
          <w:p w:rsidR="00AF2869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Весь</w:t>
            </w: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 xml:space="preserve"> </w:t>
            </w: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модельный</w:t>
            </w: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 xml:space="preserve"> </w:t>
            </w: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ряд</w:t>
            </w:r>
          </w:p>
        </w:tc>
      </w:tr>
      <w:tr w:rsidR="00AF2869" w:rsidRPr="00AF2869" w:rsidTr="00AF2869">
        <w:tc>
          <w:tcPr>
            <w:tcW w:w="2376" w:type="dxa"/>
          </w:tcPr>
          <w:p w:rsidR="00AF2869" w:rsidRPr="00AF2869" w:rsidRDefault="00366F52" w:rsidP="00AF2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17. Toyota</w:t>
            </w:r>
          </w:p>
        </w:tc>
        <w:tc>
          <w:tcPr>
            <w:tcW w:w="7195" w:type="dxa"/>
          </w:tcPr>
          <w:p w:rsidR="00366F52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  <w:t>Land Cruiser 300</w:t>
            </w:r>
          </w:p>
          <w:p w:rsidR="00AF2869" w:rsidRPr="00AF2869" w:rsidRDefault="00366F52" w:rsidP="0036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lang w:val="en-US"/>
              </w:rPr>
            </w:pPr>
            <w:proofErr w:type="spellStart"/>
            <w:r w:rsidRPr="00AF2869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Sequoia</w:t>
            </w:r>
            <w:proofErr w:type="spellEnd"/>
          </w:p>
        </w:tc>
      </w:tr>
    </w:tbl>
    <w:p w:rsidR="00AF2869" w:rsidRPr="00AF2869" w:rsidRDefault="00AF2869" w:rsidP="00AF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______________________</w:t>
      </w:r>
    </w:p>
    <w:p w:rsidR="00366F52" w:rsidRPr="00366F52" w:rsidRDefault="00AF2869" w:rsidP="00AF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2424"/>
        </w:rPr>
      </w:pPr>
      <w:r w:rsidRPr="00366F52">
        <w:rPr>
          <w:rFonts w:ascii="Times New Roman" w:hAnsi="Times New Roman" w:cs="Times New Roman"/>
          <w:color w:val="242424"/>
        </w:rPr>
        <w:t>* Относятся модели (версии, серии, классы) транспортных средств, наименование</w:t>
      </w:r>
      <w:r w:rsidR="00366F52" w:rsidRPr="00366F52">
        <w:rPr>
          <w:rFonts w:ascii="Times New Roman" w:hAnsi="Times New Roman" w:cs="Times New Roman"/>
          <w:color w:val="242424"/>
        </w:rPr>
        <w:t xml:space="preserve"> </w:t>
      </w:r>
      <w:r w:rsidRPr="00366F52">
        <w:rPr>
          <w:rFonts w:ascii="Times New Roman" w:hAnsi="Times New Roman" w:cs="Times New Roman"/>
          <w:color w:val="242424"/>
        </w:rPr>
        <w:t>которых начинается с указанных символов.</w:t>
      </w:r>
    </w:p>
    <w:p w:rsidR="00366F52" w:rsidRDefault="00AF2869" w:rsidP="00C66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Обращаем внимание!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Несмотря на вступление в силу положений</w:t>
      </w:r>
      <w:r w:rsidR="00C66840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постановления Совета Министров Республики Беларусь после его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официального опубликования, проектом постановления предусмотрено,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что они распространяют свое действие на правоотношения, возникшие с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01.01.2024.</w:t>
      </w:r>
    </w:p>
    <w:p w:rsidR="00366F52" w:rsidRDefault="00AF2869" w:rsidP="0036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Исходя из вышеизложенного, рекомендуется произвести уплату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авансового платежа по транспортному налогу по транспортным средствам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повышенной комфортности за первый квартал 2024 года организациями -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плательщиками транспортного налога в соответствии с вышеизложенным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порядком.</w:t>
      </w:r>
    </w:p>
    <w:p w:rsidR="00254A6B" w:rsidRPr="00AF2869" w:rsidRDefault="00AF2869" w:rsidP="0036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69">
        <w:rPr>
          <w:rFonts w:ascii="Times New Roman" w:hAnsi="Times New Roman" w:cs="Times New Roman"/>
          <w:color w:val="242424"/>
          <w:sz w:val="28"/>
          <w:szCs w:val="28"/>
        </w:rPr>
        <w:t>Неуплата, несвоевременная или неполная уплата авансовых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платежей по транспортному налогу служит основанием для применения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мер принудительного исполнения налогового обязательства и уплаты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соответствующих пеней (статья 55 НК), а также для применения к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указанному лицу мер ответственности в порядке и на условиях,</w:t>
      </w:r>
      <w:r w:rsidR="00366F5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F2869">
        <w:rPr>
          <w:rFonts w:ascii="Times New Roman" w:hAnsi="Times New Roman" w:cs="Times New Roman"/>
          <w:color w:val="242424"/>
          <w:sz w:val="28"/>
          <w:szCs w:val="28"/>
        </w:rPr>
        <w:t>установленных законодательством.</w:t>
      </w:r>
    </w:p>
    <w:sectPr w:rsidR="00254A6B" w:rsidRPr="00AF2869" w:rsidSect="0025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869"/>
    <w:rsid w:val="001459E3"/>
    <w:rsid w:val="00254A6B"/>
    <w:rsid w:val="00366F52"/>
    <w:rsid w:val="00AF2869"/>
    <w:rsid w:val="00C6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703_Kovgorenia</dc:creator>
  <cp:lastModifiedBy>703_Kovgorenia</cp:lastModifiedBy>
  <cp:revision>2</cp:revision>
  <dcterms:created xsi:type="dcterms:W3CDTF">2024-03-21T13:40:00Z</dcterms:created>
  <dcterms:modified xsi:type="dcterms:W3CDTF">2024-03-22T05:54:00Z</dcterms:modified>
</cp:coreProperties>
</file>