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E1" w:rsidRPr="00A957E1" w:rsidRDefault="00A957E1" w:rsidP="00A957E1">
      <w:pPr>
        <w:widowControl w:val="0"/>
        <w:autoSpaceDE w:val="0"/>
        <w:autoSpaceDN w:val="0"/>
        <w:adjustRightInd w:val="0"/>
        <w:spacing w:after="120" w:line="280" w:lineRule="exact"/>
        <w:ind w:left="6237"/>
        <w:rPr>
          <w:sz w:val="30"/>
          <w:szCs w:val="30"/>
        </w:rPr>
      </w:pPr>
      <w:bookmarkStart w:id="0" w:name="_GoBack"/>
      <w:bookmarkEnd w:id="0"/>
      <w:r w:rsidRPr="00A957E1">
        <w:rPr>
          <w:sz w:val="30"/>
          <w:szCs w:val="30"/>
        </w:rPr>
        <w:t>УТВЕРЖДЕНО</w:t>
      </w:r>
    </w:p>
    <w:p w:rsidR="00A957E1" w:rsidRPr="00A957E1" w:rsidRDefault="00A957E1" w:rsidP="00A957E1">
      <w:pPr>
        <w:widowControl w:val="0"/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A957E1">
        <w:rPr>
          <w:sz w:val="30"/>
          <w:szCs w:val="30"/>
        </w:rPr>
        <w:t>Постановление</w:t>
      </w:r>
    </w:p>
    <w:p w:rsidR="00A957E1" w:rsidRPr="00A957E1" w:rsidRDefault="00A957E1" w:rsidP="00A957E1">
      <w:pPr>
        <w:widowControl w:val="0"/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A957E1">
        <w:rPr>
          <w:sz w:val="30"/>
          <w:szCs w:val="30"/>
        </w:rPr>
        <w:t xml:space="preserve">Совета Министров </w:t>
      </w:r>
    </w:p>
    <w:p w:rsidR="00A957E1" w:rsidRPr="00A957E1" w:rsidRDefault="00A957E1" w:rsidP="00A957E1">
      <w:pPr>
        <w:widowControl w:val="0"/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A957E1">
        <w:rPr>
          <w:sz w:val="30"/>
          <w:szCs w:val="30"/>
        </w:rPr>
        <w:t>Республики Беларусь</w:t>
      </w:r>
    </w:p>
    <w:p w:rsidR="00A957E1" w:rsidRPr="00A957E1" w:rsidRDefault="00A957E1" w:rsidP="00A957E1">
      <w:pPr>
        <w:widowControl w:val="0"/>
        <w:autoSpaceDE w:val="0"/>
        <w:autoSpaceDN w:val="0"/>
        <w:adjustRightInd w:val="0"/>
        <w:spacing w:line="280" w:lineRule="exact"/>
        <w:ind w:left="6237"/>
        <w:rPr>
          <w:spacing w:val="-10"/>
          <w:sz w:val="30"/>
          <w:szCs w:val="30"/>
        </w:rPr>
      </w:pPr>
      <w:r w:rsidRPr="00A957E1">
        <w:rPr>
          <w:sz w:val="30"/>
          <w:szCs w:val="30"/>
        </w:rPr>
        <w:t>09.06.2025   № 312</w:t>
      </w:r>
    </w:p>
    <w:p w:rsidR="00A957E1" w:rsidRPr="00A957E1" w:rsidRDefault="00A957E1" w:rsidP="00A957E1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spacing w:val="-10"/>
          <w:sz w:val="30"/>
          <w:szCs w:val="30"/>
        </w:rPr>
      </w:pPr>
    </w:p>
    <w:p w:rsidR="00A957E1" w:rsidRPr="00A957E1" w:rsidRDefault="00A957E1" w:rsidP="00A957E1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spacing w:val="-10"/>
          <w:sz w:val="30"/>
          <w:szCs w:val="30"/>
        </w:rPr>
      </w:pPr>
    </w:p>
    <w:p w:rsidR="00A957E1" w:rsidRPr="00A957E1" w:rsidRDefault="00A957E1" w:rsidP="00A957E1">
      <w:pPr>
        <w:autoSpaceDE w:val="0"/>
        <w:autoSpaceDN w:val="0"/>
        <w:adjustRightInd w:val="0"/>
        <w:spacing w:after="120" w:line="280" w:lineRule="exact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ПОЛОЖЕНИЕ </w:t>
      </w:r>
    </w:p>
    <w:p w:rsidR="00A957E1" w:rsidRPr="00A957E1" w:rsidRDefault="00A957E1" w:rsidP="00A957E1">
      <w:pPr>
        <w:tabs>
          <w:tab w:val="left" w:pos="5245"/>
        </w:tabs>
        <w:autoSpaceDE w:val="0"/>
        <w:autoSpaceDN w:val="0"/>
        <w:adjustRightInd w:val="0"/>
        <w:spacing w:line="280" w:lineRule="exact"/>
        <w:ind w:right="3686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о порядке финансирования и </w:t>
      </w:r>
      <w:bookmarkStart w:id="1" w:name="_Hlk184926259"/>
      <w:r w:rsidRPr="00A957E1">
        <w:rPr>
          <w:sz w:val="30"/>
          <w:szCs w:val="30"/>
        </w:rPr>
        <w:t>выполнения оплачиваемых временных работ, а также установления месячной нормы участия безработных в указанных работах</w:t>
      </w:r>
    </w:p>
    <w:bookmarkEnd w:id="1"/>
    <w:p w:rsidR="00A957E1" w:rsidRPr="00A957E1" w:rsidRDefault="00A957E1" w:rsidP="00A957E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A957E1" w:rsidRPr="00A957E1" w:rsidRDefault="00A957E1" w:rsidP="00A957E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1. Настоящим Положением определяются порядок финансирования и условия выполнения оплачиваемых временных работ и порядок установления месячной нормы участия безработных в указанных работах.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57E1">
        <w:rPr>
          <w:rFonts w:eastAsia="Calibri"/>
          <w:sz w:val="30"/>
          <w:szCs w:val="30"/>
          <w:lang w:eastAsia="en-US"/>
        </w:rPr>
        <w:t xml:space="preserve">2. Для целей настоящего Положения используются термины и их определения в значениях, установленных в </w:t>
      </w:r>
      <w:r w:rsidRPr="00A957E1">
        <w:rPr>
          <w:sz w:val="30"/>
          <w:szCs w:val="30"/>
        </w:rPr>
        <w:t>Законе Республики Беларусь ”О занятости населения“</w:t>
      </w:r>
      <w:r w:rsidRPr="00A957E1">
        <w:rPr>
          <w:rFonts w:eastAsia="Calibri"/>
          <w:sz w:val="30"/>
          <w:szCs w:val="30"/>
          <w:lang w:eastAsia="en-US"/>
        </w:rPr>
        <w:t>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2" w:name="_Hlk181264221"/>
      <w:r w:rsidRPr="00A957E1">
        <w:rPr>
          <w:sz w:val="30"/>
          <w:szCs w:val="30"/>
        </w:rPr>
        <w:t xml:space="preserve">3. К оплачиваемым временным работам относятся следующие виды работ: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рекультивация земель, мелиоративные работы, природоохранные мероприятия;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строительство дорог, их ремонт и содержание;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строительство и ремонт объектов социально-культурного назначения и социального обслуживания;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восстановление культурных ценностей, памятников архитектуры, заповедных зон;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3" w:name="_Hlk181195332"/>
      <w:r w:rsidRPr="00A957E1">
        <w:rPr>
          <w:sz w:val="30"/>
          <w:szCs w:val="30"/>
        </w:rPr>
        <w:t>сельскохозяйственные работы;</w:t>
      </w:r>
    </w:p>
    <w:bookmarkEnd w:id="3"/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благоустройство и озеленение территорий;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сохранение и развитие лесопаркового хозяйства, зон отдыха и туризма;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подсобные работы;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сортировка бывших в употреблении одежды, обуви и изделий;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сбор, сортировка и переработка вторичного сырья и отходов;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работы в организациях, осуществляющих эксплуатацию жилищного фонда и (или) предоставляющих жилищно-коммунальные услуги;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работы по подготовке и проведению спортивно-массовых мероприятий;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A957E1">
        <w:rPr>
          <w:sz w:val="30"/>
          <w:szCs w:val="30"/>
        </w:rPr>
        <w:t xml:space="preserve">работы по подготовке и проведению </w:t>
      </w:r>
      <w:r w:rsidRPr="00A957E1">
        <w:rPr>
          <w:sz w:val="30"/>
          <w:szCs w:val="30"/>
          <w:shd w:val="clear" w:color="auto" w:fill="FFFFFF"/>
        </w:rPr>
        <w:t>фестивалей,</w:t>
      </w:r>
      <w:r w:rsidRPr="00A957E1">
        <w:rPr>
          <w:sz w:val="30"/>
          <w:szCs w:val="30"/>
        </w:rPr>
        <w:t xml:space="preserve"> к</w:t>
      </w:r>
      <w:r w:rsidRPr="00A957E1">
        <w:rPr>
          <w:sz w:val="30"/>
          <w:szCs w:val="30"/>
          <w:shd w:val="clear" w:color="auto" w:fill="FFFFFF"/>
        </w:rPr>
        <w:t>ультурно-зрелищных мероприятий (концертов и других);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lastRenderedPageBreak/>
        <w:t>работы по подготовке и проведению переписи населения</w:t>
      </w:r>
      <w:bookmarkEnd w:id="2"/>
      <w:r w:rsidRPr="00A957E1">
        <w:rPr>
          <w:sz w:val="30"/>
          <w:szCs w:val="30"/>
        </w:rPr>
        <w:t>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уход за участками для захоронения, работы по содержанию и благоустройству мест погребения. </w:t>
      </w:r>
    </w:p>
    <w:p w:rsidR="00A957E1" w:rsidRPr="00A957E1" w:rsidRDefault="00A957E1" w:rsidP="00A957E1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4. Оплачиваемые временные работы организуются местными исполнительными и распорядительными органами при </w:t>
      </w:r>
      <w:bookmarkStart w:id="4" w:name="_Hlk184226840"/>
      <w:r w:rsidRPr="00A957E1">
        <w:rPr>
          <w:sz w:val="30"/>
          <w:szCs w:val="30"/>
        </w:rPr>
        <w:t xml:space="preserve">участии комитета по труду, занятости и социальной защите Минского горисполкома, управлений (отделов) по труду, занятости и социальной защите городского, районного исполкома </w:t>
      </w:r>
      <w:bookmarkEnd w:id="4"/>
      <w:r w:rsidRPr="00A957E1">
        <w:rPr>
          <w:sz w:val="30"/>
          <w:szCs w:val="30"/>
        </w:rPr>
        <w:t xml:space="preserve">(далее – </w:t>
      </w:r>
      <w:bookmarkStart w:id="5" w:name="_Hlk185928290"/>
      <w:r w:rsidRPr="00A957E1">
        <w:rPr>
          <w:sz w:val="30"/>
          <w:szCs w:val="30"/>
        </w:rPr>
        <w:t>органы по труду, занятости и социальной защите).</w:t>
      </w:r>
      <w:bookmarkEnd w:id="5"/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5. Республиканские органы государственного управления, иные организации, подчиненные Правительству Республики Беларусь, наниматели, претендующие на организацию оплачиваемых временных работ (далее – организации), предоставляют в орган по труду, занятости и социальной защите по месту своего нахождения ежегодно до 15 октября предложения с указанием видов работ, количества граждан, необходимых для их выполнения, и сроков выполнения этих работ.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Органом по труду, занятости и социальной защите с учетом поступивших предложений организаций ежегодно до 1 ноября разрабатывается проект решения об установлении перечня планируемых на территории административно-территориальной единицы видов оплачиваемых временных работ с указанием сроков их выполнения (далее – перечень видов работ).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Местными исполнительными и распорядительными органами ежегодно до 1 декабря устанавливается перечень видов работ и месячная норма участия безработных в оплачиваемых временных работах, представляющая собой минимальное количество рабочих дней для участия безработных в соответствующих работах в каждом месяце следующего года (далее – </w:t>
      </w:r>
      <w:bookmarkStart w:id="6" w:name="_Hlk189478569"/>
      <w:r w:rsidRPr="00A957E1">
        <w:rPr>
          <w:sz w:val="30"/>
          <w:szCs w:val="30"/>
        </w:rPr>
        <w:t>месячная норма</w:t>
      </w:r>
      <w:bookmarkEnd w:id="6"/>
      <w:r w:rsidRPr="00A957E1">
        <w:rPr>
          <w:sz w:val="30"/>
          <w:szCs w:val="30"/>
        </w:rPr>
        <w:t xml:space="preserve">). </w:t>
      </w:r>
    </w:p>
    <w:p w:rsidR="00A957E1" w:rsidRPr="00A957E1" w:rsidRDefault="00A957E1" w:rsidP="00A957E1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6. Месячная норма не может превышать 10 рабочих дней.</w:t>
      </w:r>
    </w:p>
    <w:p w:rsidR="00A957E1" w:rsidRPr="00A957E1" w:rsidRDefault="00A957E1" w:rsidP="00A957E1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В течение года месячная норма в пределах 10 рабочих дней может быть изменена по решению местного исполнительного и распорядительного органа. </w:t>
      </w:r>
    </w:p>
    <w:p w:rsidR="00A957E1" w:rsidRPr="00A957E1" w:rsidRDefault="00A957E1" w:rsidP="00A957E1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Безработные могут не выполнять месячную норму при наличии следующих уважительных причин: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временная нетрудоспособность безработного, если количество дней его трудоспособности менее месячной нормы (при наличии листка нетрудоспособности и (или) справки о временной нетрудоспособности);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медицинские противопоказания для безработного ко всем видам оплачиваемых временных работ (при наличии заключения врачебно-консультационной комиссии) либо инвалидность безработного (при наличии удостоверения инвалида);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lastRenderedPageBreak/>
        <w:t>беременность безработного (при наличии медицинской справки о состоянии здоровья);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необеспечение безработного объемом оплачиваемых временных работ для выполнения установленной месячной нормы;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необеспечение доставки (проезда) безработного к месту выполнения оплачиваемых временных работ и обратно;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нахождение безработного на учете в органах по труду, занятости и социальной защите менее 1 месяца;</w:t>
      </w:r>
    </w:p>
    <w:p w:rsidR="00A957E1" w:rsidRPr="00A957E1" w:rsidRDefault="00A957E1" w:rsidP="00A957E1">
      <w:pPr>
        <w:tabs>
          <w:tab w:val="left" w:pos="396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прохождение безработным военных, специальных или учебных сборов, исполнение государственных или общественных обязанностей;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прохождение безработным подготовки, профессиональной подготовки, переподготовки,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 направлению органов по труду, занятости и социальной защите;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 w:rsidRPr="00A957E1">
        <w:rPr>
          <w:sz w:val="30"/>
          <w:szCs w:val="30"/>
        </w:rPr>
        <w:t>недостижение</w:t>
      </w:r>
      <w:proofErr w:type="spellEnd"/>
      <w:r w:rsidRPr="00A957E1">
        <w:rPr>
          <w:sz w:val="30"/>
          <w:szCs w:val="30"/>
        </w:rPr>
        <w:t xml:space="preserve"> безработным 18-летнего возраста;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до достижения безработным общеустановленного пенсионного возраста остается не более пяти лет;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57E1">
        <w:rPr>
          <w:sz w:val="30"/>
          <w:szCs w:val="30"/>
        </w:rPr>
        <w:t>иные уважительные причины, которые</w:t>
      </w:r>
      <w:r w:rsidRPr="00A957E1">
        <w:rPr>
          <w:rFonts w:eastAsia="Calibri"/>
          <w:sz w:val="30"/>
          <w:szCs w:val="30"/>
          <w:lang w:eastAsia="en-US"/>
        </w:rPr>
        <w:t xml:space="preserve"> подтверждаются документально.</w:t>
      </w:r>
    </w:p>
    <w:p w:rsidR="00A957E1" w:rsidRPr="00A957E1" w:rsidRDefault="00A957E1" w:rsidP="00A957E1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Безработные по их желанию могут участвовать в оплачиваемых временных работах сверх установленной месячной нормы. </w:t>
      </w:r>
    </w:p>
    <w:p w:rsidR="00A957E1" w:rsidRPr="00A957E1" w:rsidRDefault="00A957E1" w:rsidP="00A957E1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Безработным, выполнившим оплачиваемые временные работы сверх установленной месячной нормы, количество рабочих дней, превышающее данную месячную норму, засчитывается в месячную норму в последующих месяцах.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7. Органом по труду, занятости и социальной защите ежегодно до </w:t>
      </w:r>
      <w:r w:rsidRPr="00A957E1">
        <w:rPr>
          <w:spacing w:val="-4"/>
          <w:sz w:val="30"/>
          <w:szCs w:val="30"/>
        </w:rPr>
        <w:t>1 марта разрабатывается проект решения об установлении</w:t>
      </w:r>
      <w:r w:rsidRPr="00A957E1">
        <w:rPr>
          <w:sz w:val="30"/>
          <w:szCs w:val="30"/>
        </w:rPr>
        <w:t xml:space="preserve"> перечня организаций, в которых организуются оплачиваемые временные работы за счет средств, направляемых на финансирование мероприятий </w:t>
      </w:r>
      <w:r w:rsidRPr="00A957E1">
        <w:rPr>
          <w:sz w:val="30"/>
          <w:szCs w:val="30"/>
        </w:rPr>
        <w:br/>
        <w:t xml:space="preserve">в области содействия занятости населения в соответствии </w:t>
      </w:r>
      <w:r w:rsidRPr="00A957E1">
        <w:rPr>
          <w:sz w:val="30"/>
          <w:szCs w:val="30"/>
        </w:rPr>
        <w:br/>
        <w:t>с законодательством о занятости населения (далее – средства бюджета), с указанием наименований организаций и видов оплачиваемых временных работ согласно перечню видов работ (далее – перечень организаций).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Местными исполнительными и распорядительными органами ежегодно до 1 апреля устанавливается перечень организаций.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57E1">
        <w:rPr>
          <w:rFonts w:eastAsia="Calibri"/>
          <w:sz w:val="30"/>
          <w:szCs w:val="30"/>
          <w:lang w:eastAsia="en-US"/>
        </w:rPr>
        <w:lastRenderedPageBreak/>
        <w:t>8. В случае необходимости изменения перечня видов работ и (или) перечня организаций органом по труду, занятости и социальной защите формируется проект соответствующего решения.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57E1">
        <w:rPr>
          <w:rFonts w:eastAsia="Calibri"/>
          <w:sz w:val="30"/>
          <w:szCs w:val="30"/>
          <w:lang w:eastAsia="en-US"/>
        </w:rPr>
        <w:t>Решение об изменении перечня видов работ и (или) перечня организаций принимается местными исполнительными и распорядительными органами в течение месяца с даты поступления от органа по труду, занятости и социальной защите проекта соответствующего решения.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9. Органы по труду, занятости и социальной защите в целях реализации решений местных исполнительных и распорядительных органов, указанных в части третьей пункта 5, части второй пункта 7 и части второй пункта 8 настоящего Положения, с учетом сроков выполнения оплачиваемых временных работ заключают с организацией договор о порядке организации и условиях проведения оплачиваемых временных работ (далее – договор).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В договоре должно быть отражено: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pacing w:val="-8"/>
          <w:sz w:val="30"/>
          <w:szCs w:val="30"/>
        </w:rPr>
      </w:pPr>
      <w:r w:rsidRPr="00A957E1">
        <w:rPr>
          <w:spacing w:val="-4"/>
          <w:sz w:val="30"/>
          <w:szCs w:val="30"/>
        </w:rPr>
        <w:t>количество привлекаемых к выполнению оплачиваемых временных</w:t>
      </w:r>
      <w:r w:rsidRPr="00A957E1">
        <w:rPr>
          <w:sz w:val="30"/>
          <w:szCs w:val="30"/>
        </w:rPr>
        <w:t xml:space="preserve"> </w:t>
      </w:r>
      <w:r w:rsidRPr="00A957E1">
        <w:rPr>
          <w:spacing w:val="-8"/>
          <w:sz w:val="30"/>
          <w:szCs w:val="30"/>
        </w:rPr>
        <w:t xml:space="preserve">работ безработных и граждан, обратившихся по вопросам трудоустройства;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объемы и сроки выполнения работ;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организация и условия финансирования доставки (проезда) безработных и граждан, обратившихся по вопросам трудоустройства, к месту выполнения оплачиваемых временных работ и обратно;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ответственность сторон за невыполнение условий договора.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При заключении договора с организацией, включенной в перечень организаций, помимо условий, указанных в части второй настоящего пункта, в договоре также должны быть отражены: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обязательства организации представлять в установленные в договоре сроки в орган по труду, занятости и социальной защите копии документов, подтверждающих целевое использование средств бюджета;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обязательства органов по труду, занятости и социальной защите по финансированию за счет средств бюджета расходов, указанных в пункте 12 настоящего Положения;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порядок, условия и сроки перечисления органами по труду, занятости и социальной защите финансовых средств организации;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порядок использования после выполнения оплачиваемых временных работ средств индивидуальной защиты, инвентаря и инструментов.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iCs/>
          <w:sz w:val="30"/>
          <w:szCs w:val="30"/>
          <w:lang w:eastAsia="en-US"/>
        </w:rPr>
      </w:pPr>
      <w:r w:rsidRPr="00A957E1">
        <w:rPr>
          <w:iCs/>
          <w:sz w:val="30"/>
          <w:szCs w:val="30"/>
        </w:rPr>
        <w:t xml:space="preserve">Организация, включенная в перечень организаций, для заключения договора представляет </w:t>
      </w:r>
      <w:r w:rsidRPr="00A957E1">
        <w:rPr>
          <w:rFonts w:eastAsia="Calibri"/>
          <w:iCs/>
          <w:sz w:val="30"/>
          <w:szCs w:val="30"/>
          <w:lang w:eastAsia="en-US"/>
        </w:rPr>
        <w:t>в орган по труду, занятости и социальной защите расчет финансовых затрат (сметы расходов) на организацию оплачиваемых временных работ, который является неотъемлемой частью договора.</w:t>
      </w:r>
      <w:r w:rsidRPr="00A957E1">
        <w:rPr>
          <w:rFonts w:eastAsia="Calibri"/>
          <w:bCs/>
          <w:iCs/>
          <w:sz w:val="30"/>
          <w:szCs w:val="30"/>
          <w:lang w:eastAsia="en-US"/>
        </w:rPr>
        <w:t xml:space="preserve">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Контроль за соблюдением законодательства о занятости населения в части выполнения обязательств, определенных договором, осуществляется органом по труду, занятости и социальной защите, заключившим договор.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10. В целях исполнения договоров органы по труду, занятости и социальной защите: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своевременно информируют организации, безработных и граждан, обратившихся по вопросам трудоустройства, о видах, объемах и условиях выполнения установленной месячной нормы и об иных вопросах организации оплачиваемых временных работ</w:t>
      </w:r>
      <w:bookmarkStart w:id="7" w:name="_Hlk186448890"/>
      <w:r w:rsidRPr="00A957E1">
        <w:rPr>
          <w:sz w:val="30"/>
          <w:szCs w:val="30"/>
        </w:rPr>
        <w:t xml:space="preserve"> путем: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размещения соответствующей информации на информационном портале государственной службы занятости, официальных сайтах местных исполнительных и распорядительных органов, органов по труду, занятости и социальной защите в глобальной компьютерной сети Интернет, а также на стендах, плакатах и баннерах по месту нахождения органов по труду, занятости и социальной защите</w:t>
      </w:r>
      <w:bookmarkEnd w:id="7"/>
      <w:r w:rsidRPr="00A957E1">
        <w:rPr>
          <w:sz w:val="30"/>
          <w:szCs w:val="30"/>
        </w:rPr>
        <w:t>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консультирования безработных и граждан, обратившихся по вопросам трудоустройства, работниками органов по труду, занятости и социальной защите;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осуществляют учет безработных и граждан, обратившихся по вопросам трудоустройства, принимающих участие в оплачиваемых временных работах, и количества рабочих дней для их участия в этих работах;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направляют безработных и граждан, обратившихся по вопросам трудоустройства, на оплачиваемые временные работы, не </w:t>
      </w:r>
      <w:r w:rsidRPr="00A957E1">
        <w:rPr>
          <w:rFonts w:eastAsia="Calibri"/>
          <w:sz w:val="30"/>
          <w:szCs w:val="30"/>
          <w:lang w:eastAsia="en-US"/>
        </w:rPr>
        <w:t xml:space="preserve">требующие специальной профессиональной подготовки, </w:t>
      </w:r>
      <w:r w:rsidRPr="00A957E1">
        <w:rPr>
          <w:sz w:val="30"/>
          <w:szCs w:val="30"/>
        </w:rPr>
        <w:t>с учетом их способностей и состояния здоровья в порядке, установленном законодательством о занятости населения;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осуществляют финансирование мероприятий по организации оплачиваемых временных работ в соответствии с пунктом 12 настоящего Положения;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при необходимости запрашивают у организаций справку о нахождении граждан в отпуске без сохранения заработной платы либо с частичным сохранением заработной платы, предоставленном по инициативе нанимателя.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11. С гражданами, направленными органами по труду, занятости и социальной защите на оплачиваемые временные работы, заключаются срочные трудовые (за исключением контрактов) или гражданско-правовые договоры в порядке, установленном законодательством.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12. Получателями бюджетных средств, выделяемых на финансирование оплачиваемых временных работ, являются органы по труду, занятости и социальной защите (далее – получатели бюджетных средств).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Для получения бюджетных ассигнований на финансирование оплачиваемых временных работ получатели бюджетных средств при формировании проекта бюджета на очередной финансовый год в сроки, установленные Министерством труда и социальной защиты, направляют в указанное Министерство заявку на финансирование данных работ.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Министерство труда и социальной защиты рассматривает представленные заявки и в сроки, установленные для формирования проекта бюджета на очередной финансовый год, составляют общую заявку на финансирование из республиканского бюджета оплачиваемых временных работ.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 xml:space="preserve">Распределение средств, предусмотренных в республиканском бюджете на организацию оплачиваемых временных работ, между получателями бюджетных средств осуществляется Министерством труда и социальной защиты при формировании росписи расходов республиканского бюджета. 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Министерство труда и социальной защиты утверждает бюджетные сметы получателей бюджетных средств.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Финансирование оплачиваемых временных работ осуществляется получателями бюджетных средств в соответствии с законодательством в пределах предусмотренных им бюджетных ассигнований на основании договоров.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При организации оплачиваемых временных работ за счет средств бюджета органами по труду, занятости и социальной защите могут финансироваться расходы на: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оплату труда безработных и граждан, обратившихся по вопросам трудоустройства, из числа родителей, которые обязаны возмещать расходы, затраченные государством на содержание детей, находящихся на государственном обеспечении, и в отношении которых вынесено решение о трудоустройстве в определении о судебном приказе о взыскании расходов, затраченных государством на содержание детей, находящихся на государственном обеспечении, решении о лишении родительских прав, об отобрании ребенка без лишения родительских прав, о взыскании расходов, затраченных государством на содержание детей, находящихся на государственном обеспечении, а при возникновении вопросов трудоустройства при исполнении этих судебных постановлений – в определении, выносимом в целях обеспечения исполнения исполнительных документов судом по месту их исполнения, а также граждан, находящихся в отпуске без сохранения заработной платы либо с частичным сохранением заработной платы, предоставленном по инициативе нанимателя (далее, если не указано иное, – безработные и работающие граждане). Оплата труда финансируется в размере начисленной заработной платы (с учетом стимулирующих и компенсирующих выплат) за выполненную работу и фактически отработанное рабочее время, но не ниже размера минимальной заработной платы (месячной, часовой)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выплату безработным и работающим гражданам суммы среднего заработка, сохраняемого за время трудового отпуска, денежной компенсации за неиспользованный трудовой отпуск;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выплату безработным и работающим гражданам вознаграждений за выполненную работу по гражданско-правовым договорам;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57E1">
        <w:rPr>
          <w:rFonts w:eastAsia="Calibri"/>
          <w:sz w:val="30"/>
          <w:szCs w:val="30"/>
          <w:lang w:eastAsia="en-US"/>
        </w:rPr>
        <w:t>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на производстве и профессиональных заболеваний;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доставку (проезд) безработных и граждан, обратившихся по вопросам трудоустройства, к месту выполнения оплачиваемых временных работ и обратно, в том числе если эти работы организуются организацией самостоятельно на условиях, указанных в договоре;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57E1">
        <w:rPr>
          <w:rFonts w:eastAsia="Calibri"/>
          <w:sz w:val="30"/>
          <w:szCs w:val="30"/>
          <w:lang w:eastAsia="en-US"/>
        </w:rPr>
        <w:t>приобретение для безработных и работающих граждан средств индивидуальной защиты, инвентаря, инструментов и материалов, необходимых при проведении оплачиваемых временных работ.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rFonts w:eastAsia="Calibri"/>
          <w:sz w:val="30"/>
          <w:szCs w:val="30"/>
          <w:lang w:eastAsia="en-US"/>
        </w:rPr>
        <w:t xml:space="preserve">Финансирование расходов на приобретение средств индивидуальной защиты, инвентаря, инструментов и материалов, необходимых при проведении оплачиваемых временных работ, осуществляется организациям, финансируемым из средств республиканского или местных бюджетов, в размере, не </w:t>
      </w:r>
      <w:r w:rsidRPr="00A957E1">
        <w:rPr>
          <w:sz w:val="30"/>
          <w:szCs w:val="30"/>
        </w:rPr>
        <w:t>превышающем 30 процентов затрат согласно смете расходов по каждому договору. Контроль за обоснованностью включения таких расходов в смету осуществляется органами по труду, занятости и социальной защите.</w:t>
      </w:r>
    </w:p>
    <w:p w:rsidR="00A957E1" w:rsidRPr="00A957E1" w:rsidRDefault="00A957E1" w:rsidP="00A957E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57E1">
        <w:rPr>
          <w:sz w:val="30"/>
          <w:szCs w:val="30"/>
        </w:rPr>
        <w:t>Средства индивидуальной защиты, инвентарь и инструменты, приобретенные за счет средств бюджета и пригодные для дальнейшего использования, после выполнения оплачиваемых временных работ сохраняются за организациями или передаются другим организациям для дальнейшего использования в соответствии с договорами.</w:t>
      </w:r>
    </w:p>
    <w:p w:rsidR="00FE7639" w:rsidRDefault="00457976"/>
    <w:sectPr w:rsidR="00FE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AE"/>
    <w:rsid w:val="00266BAE"/>
    <w:rsid w:val="00472D83"/>
    <w:rsid w:val="006B0180"/>
    <w:rsid w:val="00882946"/>
    <w:rsid w:val="00954BEB"/>
    <w:rsid w:val="00A957E1"/>
    <w:rsid w:val="00B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8ED1A-805F-498A-B5EA-1CB11D8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8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180"/>
    <w:pPr>
      <w:keepNext/>
      <w:widowControl w:val="0"/>
      <w:shd w:val="clear" w:color="auto" w:fill="FFFFFF"/>
      <w:snapToGrid w:val="0"/>
      <w:spacing w:before="7" w:line="266" w:lineRule="exact"/>
      <w:outlineLvl w:val="0"/>
    </w:pPr>
    <w:rPr>
      <w:rFonts w:ascii="Arial" w:hAnsi="Arial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957E1"/>
    <w:pPr>
      <w:keepNext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957E1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jc w:val="both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180"/>
    <w:rPr>
      <w:rFonts w:ascii="Arial" w:hAnsi="Arial"/>
      <w:sz w:val="28"/>
      <w:shd w:val="clear" w:color="auto" w:fill="FFFFFF"/>
    </w:rPr>
  </w:style>
  <w:style w:type="paragraph" w:styleId="a3">
    <w:name w:val="No Spacing"/>
    <w:uiPriority w:val="1"/>
    <w:qFormat/>
    <w:rsid w:val="006B0180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11">
    <w:name w:val="Стиль1"/>
    <w:basedOn w:val="a"/>
    <w:link w:val="12"/>
    <w:qFormat/>
    <w:rsid w:val="006B0180"/>
    <w:pPr>
      <w:ind w:firstLine="708"/>
      <w:jc w:val="both"/>
    </w:pPr>
    <w:rPr>
      <w:color w:val="000000" w:themeColor="text1"/>
      <w:sz w:val="28"/>
      <w:szCs w:val="28"/>
    </w:rPr>
  </w:style>
  <w:style w:type="character" w:customStyle="1" w:styleId="12">
    <w:name w:val="Стиль1 Знак"/>
    <w:basedOn w:val="a0"/>
    <w:link w:val="11"/>
    <w:rsid w:val="006B0180"/>
    <w:rPr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957E1"/>
    <w:rPr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957E1"/>
    <w:rPr>
      <w:b/>
      <w:sz w:val="30"/>
      <w:lang w:eastAsia="ru-RU"/>
    </w:rPr>
  </w:style>
  <w:style w:type="numbering" w:customStyle="1" w:styleId="13">
    <w:name w:val="Нет списка1"/>
    <w:next w:val="a2"/>
    <w:uiPriority w:val="99"/>
    <w:semiHidden/>
    <w:rsid w:val="00A957E1"/>
  </w:style>
  <w:style w:type="paragraph" w:styleId="a4">
    <w:name w:val="header"/>
    <w:basedOn w:val="a"/>
    <w:link w:val="a5"/>
    <w:uiPriority w:val="99"/>
    <w:rsid w:val="00A957E1"/>
    <w:pPr>
      <w:tabs>
        <w:tab w:val="center" w:pos="4536"/>
        <w:tab w:val="right" w:pos="9072"/>
      </w:tabs>
      <w:ind w:firstLine="709"/>
    </w:pPr>
    <w:rPr>
      <w:sz w:val="3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957E1"/>
    <w:rPr>
      <w:sz w:val="30"/>
      <w:lang w:eastAsia="ru-RU"/>
    </w:rPr>
  </w:style>
  <w:style w:type="character" w:styleId="a6">
    <w:name w:val="page number"/>
    <w:basedOn w:val="a0"/>
    <w:uiPriority w:val="99"/>
    <w:rsid w:val="00A957E1"/>
  </w:style>
  <w:style w:type="paragraph" w:styleId="a7">
    <w:name w:val="footer"/>
    <w:basedOn w:val="a"/>
    <w:link w:val="a8"/>
    <w:uiPriority w:val="99"/>
    <w:rsid w:val="00A957E1"/>
    <w:pPr>
      <w:tabs>
        <w:tab w:val="center" w:pos="4153"/>
        <w:tab w:val="right" w:pos="8306"/>
      </w:tabs>
      <w:ind w:firstLine="709"/>
    </w:pPr>
    <w:rPr>
      <w:sz w:val="3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957E1"/>
    <w:rPr>
      <w:sz w:val="30"/>
      <w:lang w:eastAsia="ru-RU"/>
    </w:rPr>
  </w:style>
  <w:style w:type="paragraph" w:styleId="a9">
    <w:name w:val="Body Text"/>
    <w:basedOn w:val="a"/>
    <w:link w:val="aa"/>
    <w:uiPriority w:val="1"/>
    <w:qFormat/>
    <w:rsid w:val="00A957E1"/>
    <w:pPr>
      <w:tabs>
        <w:tab w:val="left" w:pos="709"/>
      </w:tabs>
      <w:spacing w:line="280" w:lineRule="exact"/>
    </w:pPr>
    <w:rPr>
      <w:i/>
      <w:sz w:val="3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957E1"/>
    <w:rPr>
      <w:i/>
      <w:sz w:val="30"/>
      <w:lang w:eastAsia="ru-RU"/>
    </w:rPr>
  </w:style>
  <w:style w:type="table" w:styleId="ab">
    <w:name w:val="Table Grid"/>
    <w:basedOn w:val="a1"/>
    <w:uiPriority w:val="59"/>
    <w:rsid w:val="00A957E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957E1"/>
    <w:pPr>
      <w:ind w:firstLine="709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7E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57E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e">
    <w:name w:val="Hyperlink"/>
    <w:uiPriority w:val="99"/>
    <w:unhideWhenUsed/>
    <w:rsid w:val="00A957E1"/>
    <w:rPr>
      <w:color w:val="0000FF"/>
      <w:u w:val="single"/>
    </w:rPr>
  </w:style>
  <w:style w:type="character" w:styleId="af">
    <w:name w:val="FollowedHyperlink"/>
    <w:uiPriority w:val="99"/>
    <w:unhideWhenUsed/>
    <w:rsid w:val="00A957E1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A957E1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A957E1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unhideWhenUsed/>
    <w:rsid w:val="00A957E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957E1"/>
    <w:rPr>
      <w:lang w:eastAsia="ru-RU"/>
    </w:rPr>
  </w:style>
  <w:style w:type="paragraph" w:styleId="af3">
    <w:name w:val="List Paragraph"/>
    <w:basedOn w:val="a"/>
    <w:uiPriority w:val="34"/>
    <w:qFormat/>
    <w:rsid w:val="00A957E1"/>
    <w:pPr>
      <w:ind w:left="720"/>
      <w:contextualSpacing/>
    </w:pPr>
  </w:style>
  <w:style w:type="paragraph" w:customStyle="1" w:styleId="ConsPlusNormal">
    <w:name w:val="ConsPlusNormal"/>
    <w:rsid w:val="00A95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newncpi">
    <w:name w:val="newncpi"/>
    <w:basedOn w:val="a"/>
    <w:uiPriority w:val="99"/>
    <w:rsid w:val="00A957E1"/>
    <w:pPr>
      <w:ind w:firstLine="567"/>
      <w:jc w:val="both"/>
    </w:pPr>
  </w:style>
  <w:style w:type="paragraph" w:customStyle="1" w:styleId="point">
    <w:name w:val="point"/>
    <w:basedOn w:val="a"/>
    <w:uiPriority w:val="99"/>
    <w:rsid w:val="00A957E1"/>
    <w:pPr>
      <w:ind w:firstLine="567"/>
      <w:jc w:val="both"/>
    </w:pPr>
  </w:style>
  <w:style w:type="paragraph" w:customStyle="1" w:styleId="chapter">
    <w:name w:val="chapter"/>
    <w:basedOn w:val="a"/>
    <w:uiPriority w:val="99"/>
    <w:rsid w:val="00A957E1"/>
    <w:pPr>
      <w:spacing w:before="240" w:after="240"/>
      <w:jc w:val="center"/>
    </w:pPr>
    <w:rPr>
      <w:b/>
      <w:bCs/>
      <w:caps/>
    </w:rPr>
  </w:style>
  <w:style w:type="paragraph" w:customStyle="1" w:styleId="cap1">
    <w:name w:val="cap1"/>
    <w:basedOn w:val="a"/>
    <w:uiPriority w:val="99"/>
    <w:rsid w:val="00A957E1"/>
    <w:rPr>
      <w:sz w:val="22"/>
      <w:szCs w:val="22"/>
    </w:rPr>
  </w:style>
  <w:style w:type="paragraph" w:customStyle="1" w:styleId="ConsPlusNonformat">
    <w:name w:val="ConsPlusNonformat"/>
    <w:uiPriority w:val="99"/>
    <w:rsid w:val="00A957E1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  <w:style w:type="paragraph" w:customStyle="1" w:styleId="ConsPlusCell">
    <w:name w:val="ConsPlusCell"/>
    <w:uiPriority w:val="99"/>
    <w:rsid w:val="00A957E1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  <w:style w:type="paragraph" w:customStyle="1" w:styleId="ConsPlusDocList">
    <w:name w:val="ConsPlusDocList"/>
    <w:uiPriority w:val="99"/>
    <w:rsid w:val="00A957E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PlusTitlePage">
    <w:name w:val="ConsPlusTitlePage"/>
    <w:uiPriority w:val="99"/>
    <w:rsid w:val="00A957E1"/>
    <w:pPr>
      <w:widowControl w:val="0"/>
      <w:autoSpaceDE w:val="0"/>
      <w:autoSpaceDN w:val="0"/>
    </w:pPr>
    <w:rPr>
      <w:rFonts w:ascii="Tahoma" w:hAnsi="Tahoma" w:cs="Tahoma"/>
      <w:szCs w:val="22"/>
      <w:lang w:eastAsia="ru-RU"/>
    </w:rPr>
  </w:style>
  <w:style w:type="paragraph" w:customStyle="1" w:styleId="ConsPlusJurTerm">
    <w:name w:val="ConsPlusJurTerm"/>
    <w:uiPriority w:val="99"/>
    <w:rsid w:val="00A957E1"/>
    <w:pPr>
      <w:widowControl w:val="0"/>
      <w:autoSpaceDE w:val="0"/>
      <w:autoSpaceDN w:val="0"/>
    </w:pPr>
    <w:rPr>
      <w:rFonts w:ascii="Tahoma" w:hAnsi="Tahoma" w:cs="Tahoma"/>
      <w:sz w:val="26"/>
      <w:szCs w:val="22"/>
      <w:lang w:eastAsia="ru-RU"/>
    </w:rPr>
  </w:style>
  <w:style w:type="paragraph" w:customStyle="1" w:styleId="ConsPlusTextList">
    <w:name w:val="ConsPlusTextList"/>
    <w:uiPriority w:val="99"/>
    <w:rsid w:val="00A957E1"/>
    <w:pPr>
      <w:widowControl w:val="0"/>
      <w:autoSpaceDE w:val="0"/>
      <w:autoSpaceDN w:val="0"/>
    </w:pPr>
    <w:rPr>
      <w:rFonts w:ascii="Arial" w:hAnsi="Arial" w:cs="Arial"/>
      <w:szCs w:val="22"/>
      <w:lang w:eastAsia="ru-RU"/>
    </w:rPr>
  </w:style>
  <w:style w:type="paragraph" w:customStyle="1" w:styleId="PODP">
    <w:name w:val="PODP"/>
    <w:uiPriority w:val="99"/>
    <w:rsid w:val="00A957E1"/>
    <w:pPr>
      <w:tabs>
        <w:tab w:val="left" w:pos="6804"/>
      </w:tabs>
      <w:spacing w:before="720" w:line="280" w:lineRule="exact"/>
    </w:pPr>
    <w:rPr>
      <w:rFonts w:ascii="Times New Roman CYR" w:hAnsi="Times New Roman CYR"/>
      <w:noProof/>
      <w:sz w:val="30"/>
      <w:lang w:eastAsia="ru-RU"/>
    </w:rPr>
  </w:style>
  <w:style w:type="character" w:styleId="af4">
    <w:name w:val="footnote reference"/>
    <w:uiPriority w:val="99"/>
    <w:unhideWhenUsed/>
    <w:rsid w:val="00A957E1"/>
    <w:rPr>
      <w:vertAlign w:val="superscript"/>
    </w:rPr>
  </w:style>
  <w:style w:type="character" w:customStyle="1" w:styleId="word-wrapper">
    <w:name w:val="word-wrapper"/>
    <w:rsid w:val="00A957E1"/>
  </w:style>
  <w:style w:type="character" w:customStyle="1" w:styleId="fake-non-breaking-space">
    <w:name w:val="fake-non-breaking-space"/>
    <w:rsid w:val="00A9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</dc:creator>
  <cp:keywords/>
  <dc:description/>
  <cp:lastModifiedBy>Сорокин Сергей Александрович</cp:lastModifiedBy>
  <cp:revision>2</cp:revision>
  <dcterms:created xsi:type="dcterms:W3CDTF">2025-06-24T09:43:00Z</dcterms:created>
  <dcterms:modified xsi:type="dcterms:W3CDTF">2025-06-24T09:43:00Z</dcterms:modified>
</cp:coreProperties>
</file>